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Bree Serif" w:cs="Bree Serif" w:eastAsia="Bree Serif" w:hAnsi="Bree Serif"/>
          <w:color w:val="0000ff"/>
          <w:sz w:val="60"/>
          <w:szCs w:val="60"/>
          <w:rtl w:val="0"/>
        </w:rPr>
        <w:t xml:space="preserve">Yard Games!</w:t>
      </w:r>
    </w:p>
    <w:p w:rsidR="00000000" w:rsidDel="00000000" w:rsidP="00000000" w:rsidRDefault="00000000" w:rsidRPr="00000000">
      <w:pPr>
        <w:contextualSpacing w:val="0"/>
      </w:pPr>
      <w:r w:rsidDel="00000000" w:rsidR="00000000" w:rsidRPr="00000000">
        <w:rPr>
          <w:sz w:val="24"/>
          <w:szCs w:val="24"/>
          <w:rtl w:val="0"/>
        </w:rPr>
        <w:t xml:space="preserve">Yard or lawn games are fantastic ways to build and strengthen focus and concentration, fine motor skills, and friendships!  We will be exploring various yard games while learning the rules, uncovering the best strategies, and enjoying friendly competition.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1:January 2/4</w:t>
      </w:r>
      <w:r w:rsidDel="00000000" w:rsidR="00000000" w:rsidRPr="00000000">
        <w:rPr>
          <w:rtl w:val="0"/>
        </w:rPr>
      </w:r>
    </w:p>
    <w:tbl>
      <w:tblPr>
        <w:tblStyle w:val="Table1"/>
        <w:bidiVisual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7935"/>
        <w:tblGridChange w:id="0">
          <w:tblGrid>
            <w:gridCol w:w="1410"/>
            <w:gridCol w:w="79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Monday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NO CLASS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Wednesday</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Introduction and Syllabus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2: January 9/11</w:t>
      </w:r>
      <w:r w:rsidDel="00000000" w:rsidR="00000000" w:rsidRPr="00000000">
        <w:rPr>
          <w:rtl w:val="0"/>
        </w:rPr>
      </w:r>
    </w:p>
    <w:tbl>
      <w:tblPr>
        <w:tblStyle w:val="Table2"/>
        <w:bidiVisual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7965"/>
        <w:tblGridChange w:id="0">
          <w:tblGrid>
            <w:gridCol w:w="1380"/>
            <w:gridCol w:w="79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Monday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Spikeball and horseshoes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Wednesday</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Spikeball and horseshoes</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3:  January 16/18</w:t>
      </w:r>
      <w:r w:rsidDel="00000000" w:rsidR="00000000" w:rsidRPr="00000000">
        <w:rPr>
          <w:rtl w:val="0"/>
        </w:rPr>
      </w:r>
    </w:p>
    <w:tbl>
      <w:tblPr>
        <w:tblStyle w:val="Table3"/>
        <w:bidiVisual w:val="0"/>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935"/>
        <w:tblGridChange w:id="0">
          <w:tblGrid>
            <w:gridCol w:w="1395"/>
            <w:gridCol w:w="793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Monday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NO CLASS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Wednesday</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Spikeball and horseshoes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4:  January 23/25</w:t>
      </w:r>
      <w:r w:rsidDel="00000000" w:rsidR="00000000" w:rsidRPr="00000000">
        <w:rPr>
          <w:rtl w:val="0"/>
        </w:rPr>
      </w:r>
    </w:p>
    <w:tbl>
      <w:tblPr>
        <w:tblStyle w:val="Table4"/>
        <w:bidiVisual w:val="0"/>
        <w:tblW w:w="9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7815"/>
        <w:tblGridChange w:id="0">
          <w:tblGrid>
            <w:gridCol w:w="1425"/>
            <w:gridCol w:w="78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b w:val="1"/>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Monday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Bocce and Can Jam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Wednesday</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Bocce and Can Jam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5:  January 30/ Feb 1</w:t>
      </w:r>
      <w:r w:rsidDel="00000000" w:rsidR="00000000" w:rsidRPr="00000000">
        <w:rPr>
          <w:rtl w:val="0"/>
        </w:rPr>
      </w:r>
    </w:p>
    <w:tbl>
      <w:tblPr>
        <w:tblStyle w:val="Table5"/>
        <w:bidiVisual w:val="0"/>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7890"/>
        <w:tblGridChange w:id="0">
          <w:tblGrid>
            <w:gridCol w:w="1410"/>
            <w:gridCol w:w="78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Monday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Bocce and Can Jam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Wednesday</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STUDY GUIDE OF RULES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 6:  February 6/8</w:t>
      </w:r>
      <w:r w:rsidDel="00000000" w:rsidR="00000000" w:rsidRPr="00000000">
        <w:rPr>
          <w:rtl w:val="0"/>
        </w:rPr>
      </w:r>
    </w:p>
    <w:tbl>
      <w:tblPr>
        <w:tblStyle w:val="Table6"/>
        <w:bidiVisual w:val="0"/>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7890"/>
        <w:tblGridChange w:id="0">
          <w:tblGrid>
            <w:gridCol w:w="1410"/>
            <w:gridCol w:w="78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Class Date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Calibri" w:cs="Calibri" w:eastAsia="Calibri" w:hAnsi="Calibri"/>
                <w:sz w:val="24"/>
                <w:szCs w:val="24"/>
                <w:rtl w:val="0"/>
              </w:rPr>
              <w:t xml:space="preserve">Assignment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Monday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TEST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Wednesday</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sz w:val="24"/>
                <w:szCs w:val="24"/>
                <w:rtl w:val="0"/>
              </w:rPr>
              <w:t xml:space="preserve">Game of choice/ Tournament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Point Distribution:</w:t>
      </w:r>
    </w:p>
    <w:tbl>
      <w:tblPr>
        <w:tblStyle w:val="Table7"/>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Preparation &amp; Participation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10 each day</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TEST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25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